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разделы 2.1,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5.3, 5.4.2--5.4.3)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4.3, 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2.3.2,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3.3.3, 3.5.3,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 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2.5,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6.4.1,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2.11.1, 2.11.2, 2.12.1,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 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2.10.3, 2.12.2)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2.10.2, 2.10.5, 2.10.6)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1.3.2, 2.11.3)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1.4.1, 1.4.2, 2.11.2)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1.4.3, 2.12.1)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сопредельных государств, включая диалекты и различные регистры и пограничные варианты русского языка в синхронной, диахронической и типологической перспективе. Это предполагает создание цифровых инструментов и ресурсов, теоретическое и квантитативное моделирование языковых явлений и естественных рассуждений.</w:t>
      </w:r>
    </w:p>
    <w:p>
      <w:pPr>
        <w:pStyle w:val="BodyText"/>
      </w:pPr>
      <w:r>
        <w:t xml:space="preserve">В ходе реализации проекта были решены такие задачи:</w:t>
      </w:r>
    </w:p>
    <w:p>
      <w:pPr>
        <w:pStyle w:val="BodyText"/>
      </w:pPr>
      <w:r>
        <w:t xml:space="preserve">— 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r>
        <w:t xml:space="preserve"> </w:t>
      </w:r>
      <w:r>
        <w:t xml:space="preserve">— осуществлены сбор и анализ полевых материалов (элицитация, тексты и переводы текстов); созданы новые инструменты и ресурсы по языкам России и сопредельных государств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r>
        <w:t xml:space="preserve"> </w:t>
      </w:r>
      <w:r>
        <w:t xml:space="preserve">— 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r>
        <w:t xml:space="preserve"> </w:t>
      </w: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r>
        <w:t xml:space="preserve"> </w:t>
      </w:r>
      <w:r>
        <w:t xml:space="preserve">— 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r>
        <w:t xml:space="preserve"> </w:t>
      </w:r>
      <w:r>
        <w:t xml:space="preserve">— реализованы фундаментальные исследования: моделирование языковых явлений на основе данных языков России (включая русский) и сопредельных государств; апробация компьютерных моделей (включая современные методы искусственного интеллекта) на языковом материале.</w:t>
      </w:r>
      <w:r>
        <w:t xml:space="preserve"> </w:t>
      </w:r>
      <w:r>
        <w:t xml:space="preserve">— 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r>
        <w:t xml:space="preserve"> </w:t>
      </w:r>
      <w:r>
        <w:t xml:space="preserve">— осуществлено типологическое изучение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r>
        <w:t xml:space="preserve"> </w:t>
      </w:r>
      <w:r>
        <w:t xml:space="preserve">— проведена разработка нейросетевых методов 1) для коррекции текстов, написанных носителями русского языка, в т.ч. на иностранных языках; 2) для морфологического и синтаксического анализа исторических текстов. Компьютерное моделирование дискурса, в частности академического.</w:t>
      </w:r>
      <w:r>
        <w:t xml:space="preserve"> </w:t>
      </w:r>
      <w:r>
        <w:t xml:space="preserve">— выполнено исследование закономерностей, проявляющихся в академических текстах на английском языке, написанных носителями русского языка, в области прагматических функций многословных последовательностей в различных регистрах академической речи.</w:t>
      </w:r>
    </w:p>
    <w:p>
      <w:pPr>
        <w:pStyle w:val="BodyText"/>
      </w:pPr>
      <w:r>
        <w:t xml:space="preserve">В разделе 2 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и обследовала особенности русского языка, связанные с вариативностью выражения смыслов и динамикой речевой нормы. Результаты представлены в разделе 3.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исследования 2025 года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 Языки России, которые попали в сферу интереса, — это русский, хантыйский, абазинский, кильдинский саамский, мишарский татарский и др. Результаты изложены в разделе 4.</w:t>
      </w:r>
    </w:p>
    <w:p>
      <w:pPr>
        <w:pStyle w:val="BodyText"/>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 Результаты изложены в разделе 5.</w:t>
      </w:r>
    </w:p>
    <w:p>
      <w:pPr>
        <w:pStyle w:val="BodyText"/>
      </w:pPr>
      <w:r>
        <w:t xml:space="preserve">Для сохранения языкового богатства должны быть отработаны технологии преподавания языка. В числе прочего должны быть созданы инструменты для отслеживания сходства учебных текстов и текстов, написанных носителями. Одним из общепринятых вариантов обучения является написание эссе на заданную тему, которое содержало бы элементы обоснования точки зрения обучающегося. Удобным является и создание инструментов для автоматического обнаружения ошибок, заключающихся не только в нарушениях грамматики, но и синтаксиса, логической структуры предложения или порядка следования фраз для обоснования точки зрения обучаемого. Помимо этого, необходимо поместить изучаемый язык в общий языковой контекст. В связи с этим в разделе 6 даются результаты исследования риторической структуры учебных текстов, её сравнение со структурой текстов, написанных профессионалами, работающими на выбранном языке. Также предлагается метод сравнения структуры предложений разных языков, потенциально, позволяющий отличать влияние родного языка обучаемого и вносить исправления в процесс обучения. В разделе 6 рассматриваются различные характеристики синтетических, т.е. генерируемых автоматически, текстов, возможности использования больших языковых моделей для решения ряда задач автоматической обработки больших данных на естественном языке, а также собранные рабочей группойнаборы данных, примененные для дообучения моделей в целях реализации прикладных проектов для государства и общества. В разделе 6 также представлены результаты внедренческой деятельности рабочей группы — технологии и ресурсы, которые разрабатываются для публичного использования как лингвистами, так и широкими слоями потребителей.</w:t>
      </w:r>
    </w:p>
    <w:bookmarkEnd w:id="23"/>
    <w:bookmarkStart w:id="66" w:name="типологические-исследования"/>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X5d252f5c50fb8c66a4ee2b458a97ecbadb5c3c5"/>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6"/>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09"/>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0"/>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2"/>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3"/>
        </w:numPr>
      </w:pPr>
      <w:r>
        <w:t xml:space="preserve">предложение без дополнительных ошибок;</w:t>
      </w:r>
    </w:p>
    <w:p>
      <w:pPr>
        <w:numPr>
          <w:ilvl w:val="0"/>
          <w:numId w:val="1013"/>
        </w:numPr>
      </w:pPr>
      <w:r>
        <w:t xml:space="preserve">предложение с дополнительной ошибкой в целевом слове (где находится основная лексическая ошибка);</w:t>
      </w:r>
    </w:p>
    <w:p>
      <w:pPr>
        <w:numPr>
          <w:ilvl w:val="0"/>
          <w:numId w:val="1013"/>
        </w:numPr>
      </w:pPr>
      <w:r>
        <w:t xml:space="preserve">предложение с дополнительной ошибкой вне целевого слова (в правом или левом контексте);</w:t>
      </w:r>
    </w:p>
    <w:p>
      <w:pPr>
        <w:numPr>
          <w:ilvl w:val="0"/>
          <w:numId w:val="1013"/>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4"/>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4"/>
        </w:numPr>
      </w:pPr>
      <w:r>
        <w:t xml:space="preserve">Basic Empathy Scale</w:t>
      </w:r>
      <w:r>
        <w:t xml:space="preserve"> </w:t>
      </w:r>
      <w:r>
        <w:t xml:space="preserve">[104]</w:t>
      </w:r>
      <w:r>
        <w:t xml:space="preserve"> </w:t>
      </w:r>
      <w:r>
        <w:t xml:space="preserve">— измерение эмпатии;</w:t>
      </w:r>
    </w:p>
    <w:p>
      <w:pPr>
        <w:pStyle w:val="Compact"/>
        <w:numPr>
          <w:ilvl w:val="0"/>
          <w:numId w:val="1014"/>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5"/>
        </w:numPr>
      </w:pPr>
      <w:r>
        <w:t xml:space="preserve">женщины показали высокие показатели эмпатии и застенчивости, мужчины — высокие показатели общительности;</w:t>
      </w:r>
    </w:p>
    <w:p>
      <w:pPr>
        <w:numPr>
          <w:ilvl w:val="0"/>
          <w:numId w:val="1015"/>
        </w:numPr>
      </w:pPr>
      <w:r>
        <w:t xml:space="preserve">обнаружена положительная корреляция между эмпатией и застенчивостью (r = 0,37);</w:t>
      </w:r>
    </w:p>
    <w:p>
      <w:pPr>
        <w:numPr>
          <w:ilvl w:val="0"/>
          <w:numId w:val="1015"/>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5"/>
        </w:numPr>
      </w:pPr>
      <w:r>
        <w:t xml:space="preserve">дистанция коррелирует с частотностью слов (r = 0,29): чем чаще слово, тем оно воспринимается как более позитивное;</w:t>
      </w:r>
    </w:p>
    <w:p>
      <w:pPr>
        <w:numPr>
          <w:ilvl w:val="0"/>
          <w:numId w:val="1015"/>
        </w:numPr>
      </w:pPr>
      <w:r>
        <w:t xml:space="preserve">застенчивость оказывает отрицательное влияние на экстремальность оценок (p = 0,002);</w:t>
      </w:r>
    </w:p>
    <w:p>
      <w:pPr>
        <w:numPr>
          <w:ilvl w:val="0"/>
          <w:numId w:val="1015"/>
        </w:numPr>
      </w:pPr>
      <w:r>
        <w:t xml:space="preserve">общительность влияет на приближение фигурки к стимулам (тенденция p &lt; 0,1);</w:t>
      </w:r>
    </w:p>
    <w:p>
      <w:pPr>
        <w:numPr>
          <w:ilvl w:val="0"/>
          <w:numId w:val="1015"/>
        </w:numPr>
      </w:pPr>
      <w:r>
        <w:t xml:space="preserve">эмпатия не показала значимого эффекта;</w:t>
      </w:r>
    </w:p>
    <w:p>
      <w:pPr>
        <w:numPr>
          <w:ilvl w:val="0"/>
          <w:numId w:val="1015"/>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6"/>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6"/>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7"/>
        </w:numPr>
      </w:pPr>
      <w:r>
        <w:t xml:space="preserve">двойное маркирование:</w:t>
      </w:r>
    </w:p>
    <w:p>
      <w:pPr>
        <w:pStyle w:val="Compact"/>
        <w:numPr>
          <w:ilvl w:val="0"/>
          <w:numId w:val="1018"/>
        </w:numPr>
      </w:pPr>
      <w:r>
        <w:t xml:space="preserve">зависимое.GEN + вершина.DEF/POSS.</w:t>
      </w:r>
      <w:r>
        <w:t xml:space="preserve"> </w:t>
      </w:r>
      <w:r>
        <w:t xml:space="preserve">б) зависимое.GEN.DEF/POSS + вершина.DEF/POSS.</w:t>
      </w:r>
    </w:p>
    <w:p>
      <w:pPr>
        <w:pStyle w:val="Compact"/>
        <w:numPr>
          <w:ilvl w:val="0"/>
          <w:numId w:val="1019"/>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19"/>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[126]</w:t>
      </w:r>
    </w:p>
    <w:p>
      <w:pPr>
        <w:numPr>
          <w:ilvl w:val="0"/>
          <w:numId w:val="1001"/>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1"/>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[153: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0"/>
        </w:numPr>
      </w:pPr>
      <w:r>
        <w:t xml:space="preserve">cемантико-синтаксический тип предиката;</w:t>
      </w:r>
    </w:p>
    <w:p>
      <w:pPr>
        <w:pStyle w:val="Compact"/>
        <w:numPr>
          <w:ilvl w:val="0"/>
          <w:numId w:val="1020"/>
        </w:numPr>
      </w:pPr>
      <w:r>
        <w:t xml:space="preserve">тип зависимой клаузы;</w:t>
      </w:r>
    </w:p>
    <w:p>
      <w:pPr>
        <w:pStyle w:val="Compact"/>
        <w:numPr>
          <w:ilvl w:val="0"/>
          <w:numId w:val="1020"/>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1"/>
        </w:numPr>
      </w:pPr>
      <w:r>
        <w:t xml:space="preserve">приименные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2"/>
        </w:numPr>
      </w:pPr>
      <w:r>
        <w:t xml:space="preserve">прономинальные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rPr>
          <w:i/>
          <w:iCs/>
        </w:rPr>
        <w:t xml:space="preserve">Интриган был осторожен в этом вопросе.</w:t>
      </w:r>
    </w:p>
    <w:p>
      <w:pPr>
        <w:pStyle w:val="Compact"/>
        <w:numPr>
          <w:ilvl w:val="0"/>
          <w:numId w:val="1001"/>
        </w:numPr>
      </w:pPr>
      <w:r>
        <w:t xml:space="preserve">*</w:t>
      </w:r>
      <w:r>
        <w:rPr>
          <w:i/>
          <w:iCs/>
        </w:rPr>
        <w:t xml:space="preserve">Интриган былa осторожна в этом вопросе.</w:t>
      </w:r>
    </w:p>
    <w:p>
      <w:pPr>
        <w:pStyle w:val="Compact"/>
        <w:numPr>
          <w:ilvl w:val="0"/>
          <w:numId w:val="1001"/>
        </w:numPr>
      </w:pPr>
      <w:r>
        <w:rPr>
          <w:i/>
          <w:iCs/>
        </w:rPr>
        <w:t xml:space="preserve">Интриганка была осторожна в этом вопросе.</w:t>
      </w:r>
    </w:p>
    <w:p>
      <w:pPr>
        <w:pStyle w:val="Compact"/>
        <w:numPr>
          <w:ilvl w:val="0"/>
          <w:numId w:val="1001"/>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Xd0a901f6043cbfa956256f744ea2858f19da33a"/>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3"/>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3"/>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3"/>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1"/>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1"/>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1"/>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1"/>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1"/>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1"/>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1"/>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1"/>
        </w:numPr>
      </w:pPr>
      <m:oMath>
        <m:r>
          <m:t>K</m:t>
        </m:r>
        <m:r>
          <m:rPr>
            <m:sty m:val="p"/>
          </m:rPr>
          <m:t>¬</m:t>
        </m:r>
        <m:r>
          <m:rPr>
            <m:sty m:val="p"/>
          </m:rPr>
          <m:t>◊</m:t>
        </m:r>
        <m:r>
          <m:t>K</m:t>
        </m:r>
        <m:r>
          <m:t>F</m:t>
        </m:r>
        <m:r>
          <m:t>a</m:t>
        </m:r>
      </m:oMath>
      <w:r>
        <w:br/>
      </w:r>
    </w:p>
    <w:p>
      <w:pPr>
        <w:pStyle w:val="Compact"/>
        <w:numPr>
          <w:ilvl w:val="0"/>
          <w:numId w:val="1001"/>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r>
          <m:rPr>
            <m:sty m:val="p"/>
          </m:rPr>
          <m:t>¬</m:t>
        </m:r>
        <m:r>
          <m:t>F</m:t>
        </m:r>
        <m:r>
          <m:t>a</m:t>
        </m:r>
      </m:oMath>
      <w:r>
        <w:br/>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1"/>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1"/>
        </w:numPr>
      </w:pPr>
      <m:oMath>
        <m:r>
          <m:t>D</m:t>
        </m:r>
        <m:r>
          <m:t>e</m:t>
        </m:r>
        <m:r>
          <m:t>f</m:t>
        </m:r>
        <m:r>
          <m:rPr>
            <m:sty m:val="p"/>
          </m:rPr>
          <m:t>¬</m:t>
        </m:r>
        <m:r>
          <m:t>D</m:t>
        </m:r>
        <m:r>
          <m:t>e</m:t>
        </m:r>
        <m:r>
          <m:t>f</m:t>
        </m:r>
        <m:r>
          <m:rPr>
            <m:sty m:val="p"/>
          </m:rPr>
          <m:t>¬</m:t>
        </m:r>
        <m:r>
          <m:t>F</m:t>
        </m:r>
        <m:r>
          <m:t>a</m:t>
        </m:r>
      </m:oMath>
      <w:r>
        <w:br/>
      </w:r>
    </w:p>
    <w:p>
      <w:pPr>
        <w:pStyle w:val="Compact"/>
        <w:numPr>
          <w:ilvl w:val="0"/>
          <w:numId w:val="1001"/>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1"/>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1"/>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1"/>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1"/>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1"/>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4"/>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4"/>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4"/>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1"/>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1"/>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1"/>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rPr>
          <w:i/>
          <w:iCs/>
        </w:rPr>
        <w:t xml:space="preserve">Bella, Edward said/Jacob suspects/I warn you, is a vampire</w:t>
      </w:r>
      <w:r>
        <w:t xml:space="preserve">.</w:t>
      </w:r>
    </w:p>
    <w:p>
      <w:pPr>
        <w:pStyle w:val="Compact"/>
        <w:numPr>
          <w:ilvl w:val="0"/>
          <w:numId w:val="1001"/>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1"/>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1"/>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1"/>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1"/>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1"/>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⟦Bella is a vampire⟧ = {w1, w2}</w:t>
      </w:r>
    </w:p>
    <w:p>
      <w:pPr>
        <w:pStyle w:val="Compact"/>
        <w:numPr>
          <w:ilvl w:val="0"/>
          <w:numId w:val="1001"/>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rPr>
          <w:i/>
          <w:iCs/>
        </w:rPr>
        <w:t xml:space="preserve">Mary assures us that John can be trusted, but I don’t trust him</w:t>
      </w:r>
      <w:r>
        <w:t xml:space="preserve">.</w:t>
      </w:r>
    </w:p>
    <w:p>
      <w:pPr>
        <w:pStyle w:val="Compact"/>
        <w:numPr>
          <w:ilvl w:val="0"/>
          <w:numId w:val="1001"/>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1"/>
        </w:numPr>
      </w:pPr>
      <w:r>
        <w:rPr>
          <w:i/>
          <w:iCs/>
        </w:rPr>
        <w:t xml:space="preserve">Mary said that Sam is running for political office, but he isn’t</w:t>
      </w:r>
      <w:r>
        <w:t xml:space="preserve">.</w:t>
      </w:r>
    </w:p>
    <w:p>
      <w:pPr>
        <w:pStyle w:val="Compact"/>
        <w:numPr>
          <w:ilvl w:val="0"/>
          <w:numId w:val="1001"/>
        </w:numPr>
      </w:pPr>
      <w:r>
        <w:rPr>
          <w:i/>
          <w:iCs/>
        </w:rPr>
        <w:t xml:space="preserve">Katherine is, Dean thinks, getting married, but she isn’t</w:t>
      </w:r>
      <w:r>
        <w:t xml:space="preserve">.</w:t>
      </w:r>
    </w:p>
    <w:p>
      <w:pPr>
        <w:pStyle w:val="Compact"/>
        <w:numPr>
          <w:ilvl w:val="0"/>
          <w:numId w:val="1001"/>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25"/>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1"/>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1"/>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корпусная-и-компьютерная-лингвистика"/>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6"/>
        </w:numPr>
      </w:pPr>
      <w:r>
        <w:rPr>
          <w:rStyle w:val="VerbatimChar"/>
        </w:rPr>
        <w:t xml:space="preserve">language</w:t>
      </w:r>
      <w:r>
        <w:t xml:space="preserve"> </w:t>
      </w:r>
      <w:r>
        <w:t xml:space="preserve">–– название языка;</w:t>
      </w:r>
    </w:p>
    <w:p>
      <w:pPr>
        <w:pStyle w:val="Compact"/>
        <w:numPr>
          <w:ilvl w:val="0"/>
          <w:numId w:val="1026"/>
        </w:numPr>
      </w:pPr>
      <w:r>
        <w:rPr>
          <w:rStyle w:val="VerbatimChar"/>
        </w:rPr>
        <w:t xml:space="preserve">branch</w:t>
      </w:r>
      <w:r>
        <w:t xml:space="preserve"> </w:t>
      </w:r>
      <w:r>
        <w:t xml:space="preserve">–– ветвь языковой семьи;</w:t>
      </w:r>
    </w:p>
    <w:p>
      <w:pPr>
        <w:pStyle w:val="Compact"/>
        <w:numPr>
          <w:ilvl w:val="0"/>
          <w:numId w:val="1026"/>
        </w:numPr>
      </w:pPr>
      <w:r>
        <w:rPr>
          <w:rStyle w:val="VerbatimChar"/>
        </w:rPr>
        <w:t xml:space="preserve">family</w:t>
      </w:r>
      <w:r>
        <w:t xml:space="preserve"> </w:t>
      </w:r>
      <w:r>
        <w:t xml:space="preserve">–– семья;</w:t>
      </w:r>
    </w:p>
    <w:p>
      <w:pPr>
        <w:pStyle w:val="Compact"/>
        <w:numPr>
          <w:ilvl w:val="0"/>
          <w:numId w:val="1026"/>
        </w:numPr>
      </w:pPr>
      <w:r>
        <w:rPr>
          <w:rStyle w:val="VerbatimChar"/>
        </w:rPr>
        <w:t xml:space="preserve">glottocode</w:t>
      </w:r>
      <w:r>
        <w:t xml:space="preserve"> </w:t>
      </w:r>
      <w:r>
        <w:t xml:space="preserve">–– код языка из ресурса Glottolog;</w:t>
      </w:r>
    </w:p>
    <w:p>
      <w:pPr>
        <w:pStyle w:val="Compact"/>
        <w:numPr>
          <w:ilvl w:val="0"/>
          <w:numId w:val="1026"/>
        </w:numPr>
      </w:pPr>
      <w:r>
        <w:rPr>
          <w:rStyle w:val="VerbatimChar"/>
        </w:rPr>
        <w:t xml:space="preserve">language_color</w:t>
      </w:r>
      <w:r>
        <w:t xml:space="preserve"> </w:t>
      </w:r>
      <w:r>
        <w:t xml:space="preserve">–– цветовой код для отдельного языка;</w:t>
      </w:r>
    </w:p>
    <w:p>
      <w:pPr>
        <w:pStyle w:val="Compact"/>
        <w:numPr>
          <w:ilvl w:val="0"/>
          <w:numId w:val="1026"/>
        </w:numPr>
      </w:pPr>
      <w:r>
        <w:rPr>
          <w:rStyle w:val="VerbatimChar"/>
        </w:rPr>
        <w:t xml:space="preserve">branch_color</w:t>
      </w:r>
      <w:r>
        <w:t xml:space="preserve"> </w:t>
      </w:r>
      <w:r>
        <w:t xml:space="preserve">–– цветовой код для ветви;</w:t>
      </w:r>
    </w:p>
    <w:p>
      <w:pPr>
        <w:pStyle w:val="Compact"/>
        <w:numPr>
          <w:ilvl w:val="0"/>
          <w:numId w:val="1026"/>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6"/>
        </w:numPr>
      </w:pPr>
      <w:r>
        <w:rPr>
          <w:rStyle w:val="VerbatimChar"/>
        </w:rPr>
        <w:t xml:space="preserve">abbreviation</w:t>
      </w:r>
      <w:r>
        <w:t xml:space="preserve"> </w:t>
      </w:r>
      <w:r>
        <w:t xml:space="preserve">–– сокращенное название;</w:t>
      </w:r>
    </w:p>
    <w:p>
      <w:pPr>
        <w:pStyle w:val="Compact"/>
        <w:numPr>
          <w:ilvl w:val="0"/>
          <w:numId w:val="1026"/>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7"/>
        </w:numPr>
      </w:pPr>
      <w:r>
        <w:t xml:space="preserve">Как используются и распространены методы убеждения в англоязычных пропагандистских текстах?</w:t>
      </w:r>
    </w:p>
    <w:p>
      <w:pPr>
        <w:pStyle w:val="Compact"/>
        <w:numPr>
          <w:ilvl w:val="0"/>
          <w:numId w:val="1027"/>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8"/>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8"/>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29"/>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29"/>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29"/>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29"/>
        </w:numPr>
      </w:pPr>
      <w:r>
        <w:t xml:space="preserve">изображения протестных демонстраций и активизма, например, активистов и митингов;</w:t>
      </w:r>
    </w:p>
    <w:p>
      <w:pPr>
        <w:pStyle w:val="Compact"/>
        <w:numPr>
          <w:ilvl w:val="0"/>
          <w:numId w:val="1029"/>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0"/>
        </w:numPr>
      </w:pPr>
      <w:r>
        <w:t xml:space="preserve">формирование сбалансированной выборки из Корпуса русского рассказа;</w:t>
      </w:r>
    </w:p>
    <w:p>
      <w:pPr>
        <w:pStyle w:val="Compact"/>
        <w:numPr>
          <w:ilvl w:val="0"/>
          <w:numId w:val="1030"/>
        </w:numPr>
      </w:pPr>
      <w:r>
        <w:t xml:space="preserve">суммаризация избранных документов;</w:t>
      </w:r>
    </w:p>
    <w:p>
      <w:pPr>
        <w:pStyle w:val="Compact"/>
        <w:numPr>
          <w:ilvl w:val="0"/>
          <w:numId w:val="1030"/>
        </w:numPr>
      </w:pPr>
      <w:r>
        <w:t xml:space="preserve">автоматическая оценка результатов моделей;</w:t>
      </w:r>
    </w:p>
    <w:p>
      <w:pPr>
        <w:pStyle w:val="Compact"/>
        <w:numPr>
          <w:ilvl w:val="0"/>
          <w:numId w:val="1030"/>
        </w:numPr>
      </w:pPr>
      <w:r>
        <w:t xml:space="preserve">экспертная оценка результатов моделей и структурной сложности исходных текстов;</w:t>
      </w:r>
    </w:p>
    <w:p>
      <w:pPr>
        <w:pStyle w:val="Compact"/>
        <w:numPr>
          <w:ilvl w:val="0"/>
          <w:numId w:val="1030"/>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1"/>
        </w:numPr>
      </w:pPr>
      <w:r>
        <w:t xml:space="preserve">охват (coverage) — упоминание важных сюжетных точек, метрика оценивает смысловую составляющую;</w:t>
      </w:r>
    </w:p>
    <w:p>
      <w:pPr>
        <w:pStyle w:val="Compact"/>
        <w:numPr>
          <w:ilvl w:val="0"/>
          <w:numId w:val="1031"/>
        </w:numPr>
      </w:pPr>
      <w:r>
        <w:t xml:space="preserve">достоверность (faithfulness) — наличие несуществующих в исходном тексте деталей или искажение истории;</w:t>
      </w:r>
    </w:p>
    <w:p>
      <w:pPr>
        <w:pStyle w:val="Compact"/>
        <w:numPr>
          <w:ilvl w:val="0"/>
          <w:numId w:val="1031"/>
        </w:numPr>
      </w:pPr>
      <w:r>
        <w:t xml:space="preserve">связность (coherence) текста;</w:t>
      </w:r>
    </w:p>
    <w:p>
      <w:pPr>
        <w:pStyle w:val="Compact"/>
        <w:numPr>
          <w:ilvl w:val="0"/>
          <w:numId w:val="1031"/>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2"/>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2"/>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2"/>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2"/>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2"/>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2"/>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2"/>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3"/>
        </w:numPr>
      </w:pPr>
      <w:r>
        <w:t xml:space="preserve">Колмогорова Анастасия Владимировна (заведующий Лабораторией языковой конвергенции);</w:t>
      </w:r>
    </w:p>
    <w:p>
      <w:pPr>
        <w:pStyle w:val="Compact"/>
        <w:numPr>
          <w:ilvl w:val="0"/>
          <w:numId w:val="1033"/>
        </w:numPr>
      </w:pPr>
      <w:r>
        <w:t xml:space="preserve">Явшиц Екатерина Валерьевна (младший научный сотрудник);</w:t>
      </w:r>
    </w:p>
    <w:p>
      <w:pPr>
        <w:pStyle w:val="Compact"/>
        <w:numPr>
          <w:ilvl w:val="0"/>
          <w:numId w:val="1033"/>
        </w:numPr>
      </w:pPr>
      <w:r>
        <w:t xml:space="preserve">Сугян Анна Хачатуровна (стажер-исследователь);</w:t>
      </w:r>
    </w:p>
    <w:p>
      <w:pPr>
        <w:pStyle w:val="Compact"/>
        <w:numPr>
          <w:ilvl w:val="0"/>
          <w:numId w:val="1033"/>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34"/>
        </w:numPr>
      </w:pPr>
      <w:r>
        <w:t xml:space="preserve">Набор аудиофайлов в формате .wav с записями речи;</w:t>
      </w:r>
    </w:p>
    <w:p>
      <w:pPr>
        <w:pStyle w:val="Compact"/>
        <w:numPr>
          <w:ilvl w:val="0"/>
          <w:numId w:val="1034"/>
        </w:numPr>
      </w:pPr>
      <w:r>
        <w:t xml:space="preserve">Текстовый файл в формате .csv, содержащий подробные метаданные для каждого аудиофайла.</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5"/>
        </w:numPr>
      </w:pPr>
      <w:r>
        <w:t xml:space="preserve">Веб-скрейпинг</w:t>
      </w:r>
    </w:p>
    <w:p>
      <w:pPr>
        <w:pStyle w:val="Compact"/>
        <w:numPr>
          <w:ilvl w:val="0"/>
          <w:numId w:val="1035"/>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5"/>
        </w:numPr>
      </w:pPr>
      <w:r>
        <w:t xml:space="preserve">Аспектно-ориентированный сентимент-анализ</w:t>
      </w:r>
    </w:p>
    <w:p>
      <w:pPr>
        <w:pStyle w:val="Compact"/>
        <w:numPr>
          <w:ilvl w:val="0"/>
          <w:numId w:val="1035"/>
        </w:numPr>
      </w:pPr>
      <w:r>
        <w:t xml:space="preserve">Применение больших языковых моделей (запуск моделей через llama-cpp-python локально)</w:t>
      </w:r>
    </w:p>
    <w:p>
      <w:pPr>
        <w:pStyle w:val="Compact"/>
        <w:numPr>
          <w:ilvl w:val="0"/>
          <w:numId w:val="1035"/>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1"/>
        </w:numPr>
      </w:pPr>
      <w:r>
        <w:rPr>
          <w:i/>
          <w:iCs/>
        </w:rPr>
        <w:t xml:space="preserve">Сегодня вы просто обречены на успех в амурных делах. Не играйте в карты!</w:t>
      </w:r>
    </w:p>
    <w:p>
      <w:pPr>
        <w:pStyle w:val="Compact"/>
        <w:numPr>
          <w:ilvl w:val="0"/>
          <w:numId w:val="100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1"/>
        </w:numPr>
      </w:pPr>
      <w:r>
        <w:rPr>
          <w:i/>
          <w:iCs/>
        </w:rPr>
        <w:t xml:space="preserve">Сегодня лучше действовать сообща. Одному столько не выпить.</w:t>
      </w:r>
    </w:p>
    <w:p>
      <w:pPr>
        <w:pStyle w:val="Compact"/>
        <w:numPr>
          <w:ilvl w:val="0"/>
          <w:numId w:val="100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6"/>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6"/>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6"/>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6"/>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6"/>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Подводя итог данному разделу, отметим, что в рамках проведенных в 2025 году типологических исследований детально описаны императивные междометия в языках Кавказа; именные части речи, сложные глаголы, грамматический род и дейксис в иранских языках; морфосинтаксис пространственной сферы в северных языках. Целостное описание получили лексические группы «мешать» на материале большого числа языков и «менять» в русском языке в типологической перспективе. Получены существенные результаты для малых иранских (памирских) языков в отношении таджикских заимствований в шугнанском, исконной лексики в объеме списка Сводеша для шугнанского и бартангского. Зафиксированы типологические особенности в сфере образования звуков, ударения и интонации в языках северного ареала, а также закономерности фонетической адаптации таджикских заимствований в шугнанском. Созданы и совершенствуются электронные ресурсы для машинного перевода на базе шугнанского и других памирских языков.</w:t>
      </w:r>
    </w:p>
    <w:p>
      <w:pPr>
        <w:pStyle w:val="BodyText"/>
      </w:pPr>
      <w:r>
        <w:t xml:space="preserve">В целом сопоставительные исследования языков разных ареалов в типологической перспективе позволяют выявить общие и специфические черты родственных и неродственных идиомов, таким образом расширяя представление современной науки о языке в сфере теории универсалий и идиоэтнического лингвистического своеобразия. Особый интерес представляют оригинальные методики лексико-типологического анализа, реализованные на материале двух семантических зон. Изучение разных языковых уровней и аспектов (звукового строя и интонации, грамматики, лексики) позволяет выявить и интерпретировать такие черты языковых систем и функционирования языков, которые в перспективе могут скорректировать знание об устройстве и вариативности человеческой коммуникации в целом, об особенностях соотношения языковых черт, проявляющихся в конкретном языке совместно или порознь. Создание цифровых ресурсов на материале отдельных языков (корпусов, баз, словарей) служит общей задаче накопления лингвистических данных для их последующего сопоставления и уточнения. Существенно, что такие ресурсы вносят вклад в сохранение малых языков и дают возможность сопоставлять их друг с другом и с крупными языками, а также формируют основу для диахронического анализа. В процессе реализации проекта 2025 года существенно расширены представления о языках трех ареалов: Кавказа, Памира и севера, включая Арктику. Особенно ценны описания, построенные на материале уникальных эмпирических данных, собранных в ходе экспедиций.</w:t>
      </w:r>
    </w:p>
    <w:p>
      <w:pPr>
        <w:pStyle w:val="BodyText"/>
      </w:pPr>
      <w:r>
        <w:t xml:space="preserve">Представьте, что здесь заключение для частноязыкового.</w:t>
      </w:r>
    </w:p>
    <w:p>
      <w:pPr>
        <w:pStyle w:val="BodyText"/>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r>
        <w:t xml:space="preserve"> </w:t>
      </w: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-(m)a 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-либо 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r>
        <w:t xml:space="preserve"> </w:t>
      </w: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p>
      <w:pPr>
        <w:pStyle w:val="BodyText"/>
      </w:pPr>
      <w:r>
        <w:t xml:space="preserve">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результате исследования была осуществлена реактуализация семиотического наследия Ч-С. Пирса. Методология синехизма, намеченная в его поздних трудах, применена к решению актуальных задач обоснования междисциплинарного трансфера в научных коммуникациях, включающих искусственный интеллект. Разработана семиотическая модель трансформации структурных элементов интернет-мемов, использующая концептуальный аппарат семиотики Ч.-С. Пирса (понятия иконичности, типа, знака и привычки вывода). В актуальной ситуации плюрализма логических систем предложена реконструкция классического аргумента Г. Фреге против</w:t>
      </w:r>
      <w:r>
        <w:t xml:space="preserve"> </w:t>
      </w:r>
      <w:r>
        <w:t xml:space="preserve">“логических чужаков”</w:t>
      </w:r>
      <w:r>
        <w:t xml:space="preserve">, обуславливающего признание когнитивного многообразия рационально рассуждающих агентов психологизмом в логике.</w:t>
      </w:r>
    </w:p>
    <w:p>
      <w:pPr>
        <w:pStyle w:val="BodyText"/>
      </w:pPr>
      <w:r>
        <w:t xml:space="preserve">Предложены различные модификации формальной семантики перформативов, позволившие сформулировать аргументы за и против скептицизма относительно значения. Разработаны новые подходы к разрешению парадоксов неопределенности, основанные на критике ее эпистемической интерпретации. С использованием аппарата эпистемической логики построены соответствующие формализации.</w:t>
      </w:r>
    </w:p>
    <w:p>
      <w:pPr>
        <w:pStyle w:val="BodyText"/>
      </w:pPr>
      <w:r>
        <w:t xml:space="preserve">Выявлены и экспериментально подтверждены различия в дистрибуции пропозициональных глаголов и степени коммитмента в контекстах со слифтами и стандартными вложенными конструкциями. На основе дихотомии типов обновления дискурса (ассерций и импозиций) построена формальная модель этих различий. Предложена формальная модель эвиденциальных конструкций, верифицированная анализом морфем первого и второго прошедших времен коми-зырянского языка.</w:t>
      </w:r>
    </w:p>
    <w:p>
      <w:pPr>
        <w:pStyle w:val="BodyText"/>
      </w:pPr>
      <w:r>
        <w:t xml:space="preserve">В данном разделе был рассмотрен язык учебных текстов и язык профессионалов, работающих на данном языке. В качестве профессионального языка было предложено использовать тексты различных научных работ и новостные тексты. Были разобраны не только логически корректные рассуждения, но и рассуждения, обладающие теми или иными недостатками в рассуждениях, например, фейковые новости или новости с неполными рассуждениями. В разделе показывается, что синтаксические связи между парами и тройками слов может служить для анализа сходства структуры предложений в разных языках. Также предлагается новый инструмент, позволяющий обучающимся автоматизировать проверку своих работ и за счёт этого сократить время отклика от преподавателя.</w:t>
      </w:r>
    </w:p>
    <w:p>
      <w:pPr>
        <w:pStyle w:val="BodyText"/>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p>
      <w:pPr>
        <w:pStyle w:val="BodyText"/>
      </w:pPr>
      <w:r>
        <w:t xml:space="preserve">В данном разделе были описаны результаты экспериментов с большими мультимодальными моделями (VLMs), а также большими языковыми моделями (LLMs), в которых проверялись возможности моделей в решении задач, связанных с интерпретативной эвристической деятельностью: описание картин из коллекции Государственного Эрмитажа, суммаризация содержания художественных текстов. Так, было установлено, что модели дают более согласованные описания картин, чем информанты, а расхождения с человеческими текстами увеличиваются при усложнении сцены или переходе к абстрактным картинам. Модели пока показывают недостаточное качество суммаризации художественных рассказов, хотя при этом фактов влияния композиционно-эстетической сложности текстов на метрики качества не установлено.</w:t>
      </w:r>
    </w:p>
    <w:p>
      <w:pPr>
        <w:pStyle w:val="BodyText"/>
      </w:pPr>
      <w:r>
        <w:t xml:space="preserve">Кроме того, проведены эксперименты по оценке качества существующих систем автоматического распознавания речи. В качестве материала для такой оценки использовались данные атипичной речи (корпус речи пациентов с афазией) и устной речи в зашумленных условиях, собранные сотрудниками подразделения и представляющие ценность для дальнейших исследований в качестве источника данных.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w:t>
      </w:r>
    </w:p>
    <w:p>
      <w:pPr>
        <w:pStyle w:val="BodyText"/>
      </w:pPr>
      <w:r>
        <w:t xml:space="preserve">Представлен эффективный пайплайн для сентимент-анализа отзывов на культурные институции.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 Значения метрик оценки качества сентимент-анализа опередили соответствующие метрики словарного метода и метода анализа с помощью нейронный сетей.</w:t>
      </w:r>
    </w:p>
    <w:p>
      <w:pPr>
        <w:pStyle w:val="BodyText"/>
      </w:pPr>
      <w:r>
        <w:t xml:space="preserve">Наконец, в данном разделе описан один из вариантов исследовательской логики при изучении корпуса текстов русскоязычных социальных сетей. На примере текстов зоообъявлений и гороскопов продемонстрировано, что дискурс социальных сетей, с одной стороны, формирует паттерны нормативной картины мира, а с другой, сам по себе имеет манипулятивный характер.</w:t>
      </w:r>
    </w:p>
    <w:p>
      <w:pPr>
        <w:pStyle w:val="BodyText"/>
      </w:pPr>
      <w:r>
        <w:t xml:space="preserve">В данном разделе были описаны структура и содержание трех разработок: системы векторного поиска картин по Цифровой коллекции Государственного Эрмитажа, разработанной в сотрудничестве с компанией</w:t>
      </w:r>
      <w:r>
        <w:t xml:space="preserve"> </w:t>
      </w:r>
      <w:r>
        <w:t xml:space="preserve">“Яндекс.Облако”</w:t>
      </w:r>
      <w:r>
        <w:t xml:space="preserve">, а также двух лингвистических корпусов: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2025-11-23T20:57:51Z</dcterms:created>
  <dcterms:modified xsi:type="dcterms:W3CDTF">2025-11-23T20:57:51Z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